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64A36">
        <w:rPr>
          <w:rFonts w:ascii="Times New Roman" w:hAnsi="Times New Roman" w:cs="Times New Roman"/>
          <w:b/>
          <w:sz w:val="32"/>
          <w:szCs w:val="32"/>
        </w:rPr>
        <w:t>CORPO-SPAZIO E SEGNI VITALI</w:t>
      </w:r>
    </w:p>
    <w:p w:rsidR="00B64A36" w:rsidRPr="00B64A36" w:rsidRDefault="00B64A36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B64A36">
        <w:rPr>
          <w:rFonts w:ascii="Times New Roman" w:hAnsi="Times New Roman" w:cs="Times New Roman"/>
          <w:b/>
          <w:sz w:val="28"/>
          <w:szCs w:val="28"/>
        </w:rPr>
        <w:t>ANTONIO DEL GUERCIO</w:t>
      </w:r>
    </w:p>
    <w:p w:rsidR="00B64A36" w:rsidRPr="00B64A36" w:rsidRDefault="00B64A36" w:rsidP="005B5C2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B5C2C" w:rsidRPr="0041026C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4"/>
          <w:szCs w:val="24"/>
        </w:rPr>
      </w:pP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8"/>
          <w:szCs w:val="28"/>
        </w:rPr>
      </w:pPr>
      <w:r w:rsidRPr="00B64A36">
        <w:rPr>
          <w:rFonts w:ascii="Times New Roman" w:eastAsia="BookAntiqua" w:hAnsi="Times New Roman" w:cs="Times New Roman"/>
          <w:sz w:val="28"/>
          <w:szCs w:val="28"/>
        </w:rPr>
        <w:t>Nella ricca e articolata produzione artistica di Francesco Guadagnuolo, distesa su orizzonti culturali</w:t>
      </w:r>
      <w:r w:rsidR="00B64A36">
        <w:rPr>
          <w:rFonts w:ascii="Times New Roman" w:eastAsia="BookAntiqua" w:hAnsi="Times New Roman" w:cs="Times New Roman"/>
          <w:sz w:val="28"/>
          <w:szCs w:val="28"/>
        </w:rPr>
        <w:t xml:space="preserve"> </w:t>
      </w:r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e metodologici che includono anche un rapporto – o forse si dirà meglio un corpo a corpo – con la scienza e la tecnica, ogni riguardante può compiere la sua scelta. La mia s’appunta soprattutto sul tema del corpo. </w:t>
      </w: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8"/>
          <w:szCs w:val="28"/>
        </w:rPr>
      </w:pPr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Un tema che Guadagnuolo svolge in una sorta di drammatico ravvicinamento a ciò che il corpo ha dentro di sé, viscere scheletro sangue umori. Forme e parti del corpo vengono come scomposte e ricomposte dentro uno spazio carico anch’esso di segni vitali. </w:t>
      </w: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8"/>
          <w:szCs w:val="28"/>
        </w:rPr>
      </w:pPr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Lo spazio dell’opera si presenta tuttavia marcato da spartizioni nette, che di solito hanno al centro – verticalmente disposto – il cenno o il fantasma del corpo. È interessante notare che questo tipo di spartizione lo si ritrova anche in altre esperienze, quelle per esempio che egli intitola ad arte e scienza. </w:t>
      </w: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8"/>
          <w:szCs w:val="28"/>
        </w:rPr>
      </w:pPr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Sempre o quasi sempre, dunque, una parte centrale, rettangolare e verticale in alcuni casi, tendenzialmente quadrata o circolare in altri, s’impone al riguardante come una sorta di bersaglio dello sguardo. Un bersaglio che è un vero e proprio cuore palpitante. </w:t>
      </w: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8"/>
          <w:szCs w:val="28"/>
        </w:rPr>
      </w:pPr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Sembra di poter dire che il pittore, mentre offre allo sguardo ciò che nella sua odissea – nel corpo come nel pensiero – ha trovato o ritrovato, mette a nudo anche la tastiera completa delle emozioni, delle pulsioni, delle visioni </w:t>
      </w:r>
      <w:proofErr w:type="spellStart"/>
      <w:r w:rsidRPr="00B64A36">
        <w:rPr>
          <w:rFonts w:ascii="Times New Roman" w:eastAsia="BookAntiqua" w:hAnsi="Times New Roman" w:cs="Times New Roman"/>
          <w:sz w:val="28"/>
          <w:szCs w:val="28"/>
        </w:rPr>
        <w:t>fantasmatiche</w:t>
      </w:r>
      <w:proofErr w:type="spellEnd"/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, che l’odissea stessa ha portato alla luce, o ha fatto fermentare. </w:t>
      </w: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8"/>
          <w:szCs w:val="28"/>
        </w:rPr>
      </w:pPr>
      <w:r w:rsidRPr="00B64A36">
        <w:rPr>
          <w:rFonts w:ascii="Times New Roman" w:eastAsia="BookAntiqua" w:hAnsi="Times New Roman" w:cs="Times New Roman"/>
          <w:sz w:val="28"/>
          <w:szCs w:val="28"/>
        </w:rPr>
        <w:t>Una traccia, qua e là, d’una sorta di equivalenza visiva di quelle che Rimbaud chiamava le “</w:t>
      </w:r>
      <w:proofErr w:type="spellStart"/>
      <w:r w:rsidRPr="00B64A36">
        <w:rPr>
          <w:rFonts w:ascii="Times New Roman" w:eastAsia="BookAntiqua" w:hAnsi="Times New Roman" w:cs="Times New Roman"/>
          <w:sz w:val="28"/>
          <w:szCs w:val="28"/>
        </w:rPr>
        <w:t>rousseurs</w:t>
      </w:r>
      <w:proofErr w:type="spellEnd"/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 </w:t>
      </w:r>
      <w:proofErr w:type="spellStart"/>
      <w:r w:rsidRPr="00B64A36">
        <w:rPr>
          <w:rFonts w:ascii="Times New Roman" w:eastAsia="BookAntiqua" w:hAnsi="Times New Roman" w:cs="Times New Roman"/>
          <w:sz w:val="28"/>
          <w:szCs w:val="28"/>
        </w:rPr>
        <w:t>amères</w:t>
      </w:r>
      <w:proofErr w:type="spellEnd"/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 de l’</w:t>
      </w:r>
      <w:proofErr w:type="spellStart"/>
      <w:r w:rsidRPr="00B64A36">
        <w:rPr>
          <w:rFonts w:ascii="Times New Roman" w:eastAsia="BookAntiqua" w:hAnsi="Times New Roman" w:cs="Times New Roman"/>
          <w:sz w:val="28"/>
          <w:szCs w:val="28"/>
        </w:rPr>
        <w:t>amour</w:t>
      </w:r>
      <w:proofErr w:type="spellEnd"/>
      <w:r w:rsidRPr="00B64A36">
        <w:rPr>
          <w:rFonts w:ascii="Times New Roman" w:eastAsia="BookAntiqua" w:hAnsi="Times New Roman" w:cs="Times New Roman"/>
          <w:sz w:val="28"/>
          <w:szCs w:val="28"/>
        </w:rPr>
        <w:t xml:space="preserve">” segna a volte la sua presenza a chiudere dentro il cerchio dell’Eros tutto il percorso che egli compie. </w:t>
      </w:r>
    </w:p>
    <w:p w:rsidR="005B5C2C" w:rsidRPr="00B64A36" w:rsidRDefault="005B5C2C" w:rsidP="005B5C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ookAntiqua" w:hAnsi="Times New Roman" w:cs="Times New Roman"/>
          <w:sz w:val="28"/>
          <w:szCs w:val="28"/>
        </w:rPr>
      </w:pPr>
      <w:r w:rsidRPr="00B64A36">
        <w:rPr>
          <w:rFonts w:ascii="Times New Roman" w:eastAsia="BookAntiqua" w:hAnsi="Times New Roman" w:cs="Times New Roman"/>
          <w:sz w:val="28"/>
          <w:szCs w:val="28"/>
        </w:rPr>
        <w:t>Queste, in estrema sintesi, le sensazioni e le idee che in me suscita la pittura di Francesco Guadagnuolo, nella sua intensa autenticità.</w:t>
      </w:r>
    </w:p>
    <w:p w:rsidR="007014F6" w:rsidRDefault="007014F6"/>
    <w:p w:rsidR="006916C1" w:rsidRDefault="006916C1" w:rsidP="006916C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Metamorfosi dell’Iconografia nell’arte di Francesco Guadagnuolo,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16C1" w:rsidRDefault="006916C1" w:rsidP="006916C1">
      <w:pPr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 xml:space="preserve">Ed. Angelus </w:t>
      </w:r>
      <w:proofErr w:type="spellStart"/>
      <w:r>
        <w:rPr>
          <w:rFonts w:ascii="Times New Roman" w:hAnsi="Times New Roman" w:cs="Times New Roman"/>
          <w:sz w:val="24"/>
          <w:szCs w:val="24"/>
        </w:rPr>
        <w:t>Novus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 Tra 8 &amp; 9, 2011)</w:t>
      </w:r>
    </w:p>
    <w:sectPr w:rsidR="006916C1" w:rsidSect="007014F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ookAntiqua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5B5C2C"/>
    <w:rsid w:val="005B5C2C"/>
    <w:rsid w:val="006916C1"/>
    <w:rsid w:val="007014F6"/>
    <w:rsid w:val="009915C7"/>
    <w:rsid w:val="00B64A36"/>
    <w:rsid w:val="00E21AC2"/>
    <w:rsid w:val="00FF0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B5C2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295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Aloi</dc:creator>
  <cp:keywords/>
  <dc:description/>
  <cp:lastModifiedBy>Aloi</cp:lastModifiedBy>
  <cp:revision>6</cp:revision>
  <dcterms:created xsi:type="dcterms:W3CDTF">2012-01-13T16:00:00Z</dcterms:created>
  <dcterms:modified xsi:type="dcterms:W3CDTF">2012-01-13T19:32:00Z</dcterms:modified>
</cp:coreProperties>
</file>